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0" w:before="0" w:line="100" w:lineRule="atLeast"/>
        <w:jc w:val="right"/>
      </w:pPr>
      <w:r>
        <w:rPr>
          <w:rFonts w:ascii="Times New Roman" w:cs="Times New Roman" w:hAnsi="Times New Roman"/>
          <w:color w:val="000000"/>
          <w:sz w:val="28"/>
          <w:szCs w:val="24"/>
        </w:rPr>
        <w:t>Приложение № 1</w:t>
        <w:br/>
        <w:t>к Графику выполнения работ</w:t>
      </w:r>
    </w:p>
    <w:p>
      <w:pPr>
        <w:pStyle w:val="style0"/>
        <w:spacing w:after="0" w:before="0" w:line="100" w:lineRule="atLeast"/>
        <w:jc w:val="center"/>
      </w:pPr>
      <w:r>
        <w:rPr>
          <w:rFonts w:ascii="Times New Roman" w:cs="Times New Roman" w:hAnsi="Times New Roman"/>
          <w:b/>
          <w:sz w:val="28"/>
          <w:szCs w:val="24"/>
        </w:rPr>
      </w:r>
    </w:p>
    <w:p>
      <w:pPr>
        <w:pStyle w:val="style0"/>
        <w:spacing w:after="0" w:before="0" w:line="100" w:lineRule="atLeast"/>
        <w:jc w:val="center"/>
      </w:pPr>
      <w:r>
        <w:rPr>
          <w:rFonts w:ascii="Times New Roman" w:cs="Times New Roman" w:hAnsi="Times New Roman"/>
          <w:b/>
          <w:sz w:val="28"/>
          <w:szCs w:val="24"/>
        </w:rPr>
        <w:t>Периодичность и сроки выполнения работ</w:t>
        <w:br/>
      </w:r>
      <w:r>
        <w:rPr>
          <w:rFonts w:ascii="Times New Roman" w:cs="Times New Roman" w:hAnsi="Times New Roman"/>
          <w:b/>
          <w:color w:val="000000"/>
          <w:sz w:val="28"/>
          <w:szCs w:val="24"/>
        </w:rPr>
        <w:t xml:space="preserve">по техническому обслуживанию объединенных диспетчерских систем (ОДС) и расположенного в них технологического оборудования в 2014 году </w:t>
      </w:r>
      <w:r>
        <w:rPr>
          <w:rFonts w:ascii="Times New Roman" w:cs="Times New Roman" w:hAnsi="Times New Roman"/>
          <w:b/>
          <w:sz w:val="28"/>
          <w:szCs w:val="24"/>
        </w:rPr>
        <w:t>в районах</w:t>
      </w:r>
      <w:r>
        <w:rPr>
          <w:sz w:val="24"/>
        </w:rPr>
        <w:t xml:space="preserve"> </w:t>
      </w:r>
      <w:r>
        <w:rPr>
          <w:rFonts w:ascii="Times New Roman" w:cs="Times New Roman" w:hAnsi="Times New Roman"/>
          <w:b/>
          <w:sz w:val="28"/>
          <w:szCs w:val="24"/>
        </w:rPr>
        <w:t>Выхино, Жулебино, Кузьминки Юго-Восточного административного округа гор</w:t>
      </w:r>
      <w:bookmarkStart w:id="0" w:name="_GoBack"/>
      <w:bookmarkEnd w:id="0"/>
      <w:r>
        <w:rPr>
          <w:rFonts w:ascii="Times New Roman" w:cs="Times New Roman" w:hAnsi="Times New Roman"/>
          <w:b/>
          <w:sz w:val="28"/>
          <w:szCs w:val="24"/>
        </w:rPr>
        <w:t xml:space="preserve">ода Москвы </w:t>
      </w:r>
    </w:p>
    <w:p>
      <w:pPr>
        <w:pStyle w:val="style0"/>
      </w:pPr>
      <w:r>
        <w:rPr>
          <w:rFonts w:ascii="Times New Roman" w:cs="Times New Roman" w:hAnsi="Times New Roman"/>
          <w:sz w:val="24"/>
        </w:rPr>
      </w:r>
    </w:p>
    <w:tbl>
      <w:tblPr>
        <w:jc w:val="left"/>
        <w:tblBorders>
          <w:top w:color="000000" w:space="0" w:sz="2" w:val="single"/>
          <w:left w:color="000000" w:space="0" w:sz="2" w:val="single"/>
          <w:bottom w:color="000000" w:space="0" w:sz="2" w:val="single"/>
        </w:tblBorders>
      </w:tblPr>
      <w:tblGrid>
        <w:gridCol w:w="905"/>
        <w:gridCol w:w="1681"/>
        <w:gridCol w:w="4962"/>
        <w:gridCol w:w="1812"/>
      </w:tblGrid>
      <w:tr>
        <w:trPr>
          <w:cantSplit w:val="false"/>
        </w:trPr>
        <w:tc>
          <w:tcPr>
            <w:tcW w:type="dxa" w:w="905"/>
            <w:tcBorders>
              <w:top w:color="000000" w:space="0" w:sz="2" w:val="single"/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пп</w:t>
            </w:r>
          </w:p>
        </w:tc>
        <w:tc>
          <w:tcPr>
            <w:tcW w:type="dxa" w:w="1681"/>
            <w:tcBorders>
              <w:top w:color="000000" w:space="0" w:sz="2" w:val="single"/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Адрес объекта</w:t>
            </w:r>
          </w:p>
        </w:tc>
        <w:tc>
          <w:tcPr>
            <w:tcW w:type="dxa" w:w="4962"/>
            <w:gridSpan w:val="2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Наименование оборудования/      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выполняемые работы                 </w:t>
            </w:r>
          </w:p>
        </w:tc>
        <w:tc>
          <w:tcPr>
            <w:tcW w:type="dxa" w:w="1812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Периодичность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работ и сроки их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выполнения  </w:t>
            </w:r>
          </w:p>
        </w:tc>
      </w:tr>
      <w:tr>
        <w:trPr>
          <w:trHeight w:hRule="exact" w:val="510"/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681"/>
            <w:vMerge w:val="restart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В соответствии с Адресным перечнем объектов</w:t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Помещение ОДС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exact" w:val="510"/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  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Монитор  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1.1.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 и очистка монитора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1.2.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соединений с другими  устройствами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1.3.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температурного режима (по косвенным признакам)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1.4.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Регулировка настроек монитора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1.5.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и очистка внутренних поверхностей, узлов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 раза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1.6.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работоспособности и настройка программными средствами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1.7.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монитора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1.8.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элементов защитного заземления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  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Блок системный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2.1.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осмотр, очистка внешних поверхностей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2.2.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соединений жгутов с внешними устройствами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2.3.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температурного режима блока (по косвенным признакам)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2.4.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Оценка шумов работы блока (уровень, посторонние шумы)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2.5.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основных параметров программы ОДС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2.6.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Осмотр, очистка внутренних поверхностей (устройств)    </w:t>
            </w:r>
          </w:p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блока, проверка внутренних соединений жгутов (разъемов)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2.7.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температурного режима блока программными средствами (мониторинг средствами CMOS SETAP)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2.8.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Дефрагментация магнитного носителя (HDD)    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2.9.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параметров операционной   системы и прикладных программ, сканирование и очистка системного  реестра  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2.10.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элементов защитного заземления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2.11.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Замена кулера (элемента охлаждения)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2.12.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магнитного носителя (HDD)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  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Источник бесперебойного питания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3.1.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осмотр, очистка внешних поверхностей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3.2.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соединений жгутов с  внешними устройствами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3.3.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температурного режима блока (по косвенным признакам)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3.4.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Осмотр, очистка внутренних поверхностей (устройств)    </w:t>
            </w:r>
          </w:p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блока, проверка внутренних соединений жгутов (разъемов)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 раза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3.5.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работы утилиты SMART  (программа управления ИПБ)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 раза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3.6.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времени разряда  аккумуляторной батареи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3.7.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элементов защитного заземления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3.8.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аккумулятора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  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Адаптер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4.1.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 и очистка, проверка соединений жгутов с внешними  устройствами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4.2.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температурного режима блока (по косвенным признакам)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4.3.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цифрового сигнала (приборным методом)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4.4.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сигнала ГГС (приборным методом) 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4.5.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элементов защитного заземления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4.6.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адаптера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4.7.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Регулировка режимов работы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  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Контроллер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5.1.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 и очистка, проверка соединений жгутов с внешними  устройствами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5.2.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цифрового опроса терминалов (концентраторов) на     </w:t>
            </w:r>
          </w:p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экране монитора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5.3.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элементов защитного заземления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5.4.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контроллера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  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Телефон диспетчера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6.1.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осмотр, очистка от пыли, проверка соединений проводов с трубкой и внешними устройствами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6.2.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качества связи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6.3.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микрофона, динамика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6.4.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телефона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3 года 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  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Клавиатура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1.7.1.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 и очистка, проверка соединений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1.7.2.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и очистка внутренних  поверхностей, элементов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1.7.3.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работы клавиатуры во всех регистрах (в режимах RUS и LAT)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8.  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Манипулятор (мышь)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8.1.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 и очистка, проверка соединений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8.2.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работоспособности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8.3.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и очистка внутренних поверхностей, элементов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8.4.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предустановленных параметров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9.  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Принтер  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9.1.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 и очистка, проверка соединений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9.2.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работоспособности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9.3.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наличия порошка в картридже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9.4.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и очистка внутренних поверхностей, элементов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9.5.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предустановленных параметров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 раза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9.6.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принтера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9.7.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элементов защитного заземления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 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Переговорное устройство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10.1.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осмотр, очистка, проверка крепления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10.2.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клеммных соединений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10.3.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кабеля и надежности его крепления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10.4.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Проверка посторонних наклеек на ПГУ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10.5.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целостности кнопки вызова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10.6.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элементов защитного  заземления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10.7.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микрофона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10.8.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динамика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10.9.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кнопки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10.10.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ПУ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10.11.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наличия и качества связи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11. 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Щиток дистанционного управления (освещение, домофон и т.п.)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11.1.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осмотр, очистка, проверка  крепления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11.2.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клеммных соединений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11.3.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кабельных линий и  электропроводки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11.4.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элементов заземления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11.5.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напряжений на 1-й и 2-й  обмотках трансформатора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11.6.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принудительного срабатывания магнитного пускателя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11.7.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дистанционного включения  щитка    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12. 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Подвесной кабель в шахте лифта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12.1.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состояния оболочки кабеля (задиры, трещины и др.)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12.2.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прочности крепления кабеля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12.3.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вводов в щиток распаечный на середине шахты и кабине лифта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12.4.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кабеля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13. 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Терминал (концентратор)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13.1.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 и очистка, проверка крепления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1.13.2.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напряжения питания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13.3.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точки подключения к панели управления лифтом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13.4.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правильности работы сигнализации с панели управления   лифтом   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13.5.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уровня сигнала с микрофонов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13.6.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терминала (концентратора)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14. 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Датчик контроля двери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14.1.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 и очистка, проверка крепления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14.2.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проводки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14.3.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клеммных соединений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14.4.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контактной группы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14.5.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Проверка работоспособности контакта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14.6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контакта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Кабельные линии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  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Локальные кабельные линии в        </w:t>
            </w:r>
          </w:p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машинном помещении лифта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1.1.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открытых участков (состояние оболочек) и их крепления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1.2.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кабеля у корня разделки (окисление в местах подреза)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1.3.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вводов в щиток распаечный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1.4.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крепления защитных покровов 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1.5.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и заделка вводов через стену и перекрытия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  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Локальные кабельные линии в шахте лифта    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2.1.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открытых участков (состояние оболочек) и их крепления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2.2.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и заделка вводов через стену и перекрытия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  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Локальные кабельные линии в подъезде 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3.1.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крепления защитных  покровов 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3.2.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Осмотр и заделка вводов через стены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  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Локальные кабельные линии в тех. подполье (подвале)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4.1.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крепления защитных покровов 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4.2.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Осмотр и заделка вводов через стены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  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Локальные кабельные линии в эл. щитовой  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5.1.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открытых участков (состояние оболочек) и их крепления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5.2.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кабеля у корня разделки (окисление в местах подреза)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5.3.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вводов в щиток распаечный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5.4.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крепления защитных  покровов 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5.5.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и заделка вводов через стену и перекрытия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  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Локальные кабельные линии по фасаду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6.1.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крепления кабеля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6.2.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электрических соединений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 раза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6.3.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кабеля у корня разделки (окисление в местах подреза)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 раза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6.4.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и заделка вводов через стену и перекрытия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  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Магистральные кабельные линии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7.1.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Коллектор проходной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7.1.1.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кабеля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7.1.2.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Осмотр и заделка вводов через стену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7.1.3.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несущих конструкций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7.2.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Фасад    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7.2.1.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крепления кабеля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7.2.2.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Осмотр и заделка вводов через стену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7.3.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Подвал   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7.3.1.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трубах по стенам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7.3.2.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По эл. техническим лоткам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7.4.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Чердак   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7.4.1.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трубах по стенам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7.4.2.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На струне по стропилам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7.5.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Воздушной прокладки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7.5.1.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крепления кабеля и несущей при прокладке воздухом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7.5.2.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Регулировка стрелы провеса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7.5.3.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крепления стойки и оттяжек тросовых, проверка герметичности кровли в местах крепления трубостоек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 раза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7.5.4.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заземлителей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7.5.5.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кабеля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15. 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Щиток распаечный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15.1.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осмотр, очистка, проверка крепления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15.2.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клеммных соединений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15.3.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кабеля у корня разделки (окисление в местах подреза)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15.4.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вводов в щиток распаечный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15.5.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элементов заземления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15.6.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щитка распаечного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    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16. 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Система затопляемости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16.1.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осмотр, очистка, проверка крепления стержней датчика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16.2.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клеммных соединений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16.3.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проводки и надежности ее крепления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Проверка расположения стержней датчика относительно пола помещения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16.4.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работоспособности датчика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16.5.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датчика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17. 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Система ППА и ДУ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17.1.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осмотр, очистка контактов  реле, задействованных для снятия аварийных сигналов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17.2.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клеммных соединений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17.3.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проводки и надежности ее крепления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17.4.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работоспособности датчика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18.  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Электроизмерительные работы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18.1.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Измерение уровня помех (на ближнем и дальнем концах линии)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18.2.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Измерение входного сопротивления линии (канала)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18.3.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Измерение собственного затухания сигнала цифровой линии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18.4.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Измерение переходного затухания между цепями (взаимовлияние)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18.5.  </w:t>
            </w:r>
          </w:p>
        </w:tc>
        <w:tc>
          <w:tcPr>
            <w:tcW w:type="dxa" w:w="1681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gridSpan w:val="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Эл. измерения омического сопротивления линий, эл. емкости и </w:t>
            </w:r>
          </w:p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сопротивления изоляции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4620"/>
            <w:gridSpan w:val="3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28" w:line="100" w:lineRule="atLeast"/>
              <w:jc w:val="both"/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</w:rPr>
            </w:r>
          </w:p>
          <w:p>
            <w:pPr>
              <w:pStyle w:val="style0"/>
              <w:spacing w:after="0" w:before="28" w:line="100" w:lineRule="atLeast"/>
              <w:jc w:val="both"/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От Заказчика</w:t>
            </w:r>
          </w:p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eastAsia="Calibri" w:hAnsi="Times New Roman"/>
                <w:sz w:val="28"/>
                <w:szCs w:val="28"/>
              </w:rPr>
            </w:r>
          </w:p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eastAsia="Calibri" w:hAnsi="Times New Roman"/>
                <w:sz w:val="28"/>
                <w:szCs w:val="28"/>
              </w:rPr>
              <w:t>Генеральный директор</w:t>
            </w:r>
          </w:p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eastAsia="Calibri" w:hAnsi="Times New Roman"/>
                <w:sz w:val="28"/>
                <w:szCs w:val="28"/>
              </w:rPr>
              <w:t>МГУП «Мослифт»</w:t>
            </w:r>
          </w:p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eastAsia="Calibri" w:hAnsi="Times New Roman"/>
                <w:color w:val="000000"/>
                <w:sz w:val="28"/>
                <w:szCs w:val="28"/>
              </w:rPr>
            </w:r>
          </w:p>
        </w:tc>
        <w:tc>
          <w:tcPr>
            <w:tcW w:type="dxa" w:w="57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28" w:line="100" w:lineRule="atLeast"/>
              <w:jc w:val="both"/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</w:rPr>
            </w:r>
          </w:p>
          <w:p>
            <w:pPr>
              <w:pStyle w:val="style0"/>
              <w:spacing w:after="0" w:before="28" w:line="100" w:lineRule="atLeast"/>
              <w:jc w:val="both"/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От Исполнителя</w:t>
            </w:r>
          </w:p>
          <w:p>
            <w:pPr>
              <w:pStyle w:val="style0"/>
              <w:spacing w:after="0" w:before="28" w:line="100" w:lineRule="atLeast"/>
              <w:jc w:val="both"/>
            </w:pPr>
            <w: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r>
          </w:p>
        </w:tc>
      </w:tr>
      <w:tr>
        <w:trPr>
          <w:cantSplit w:val="false"/>
        </w:trPr>
        <w:tc>
          <w:tcPr>
            <w:tcW w:type="dxa" w:w="4620"/>
            <w:gridSpan w:val="3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eastAsia="Calibri" w:hAnsi="Times New Roman"/>
                <w:sz w:val="28"/>
                <w:szCs w:val="28"/>
              </w:rPr>
            </w:r>
          </w:p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eastAsia="Calibri" w:hAnsi="Times New Roman"/>
                <w:sz w:val="28"/>
                <w:szCs w:val="28"/>
              </w:rPr>
            </w:r>
          </w:p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eastAsia="Calibri" w:hAnsi="Times New Roman"/>
                <w:sz w:val="28"/>
                <w:szCs w:val="28"/>
              </w:rPr>
              <w:t xml:space="preserve">_____________     </w:t>
            </w:r>
            <w:r>
              <w:rPr>
                <w:rFonts w:ascii="Times New Roman" w:cs="Times New Roman" w:eastAsia="Calibri" w:hAnsi="Times New Roman"/>
                <w:b/>
                <w:sz w:val="28"/>
                <w:szCs w:val="28"/>
              </w:rPr>
              <w:t>С.А.Чернышов</w:t>
            </w:r>
          </w:p>
          <w:p>
            <w:pPr>
              <w:pStyle w:val="style0"/>
              <w:spacing w:after="0" w:before="28" w:line="100" w:lineRule="atLeast"/>
              <w:jc w:val="both"/>
            </w:pPr>
            <w: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  <w:t>М.П.</w:t>
            </w:r>
          </w:p>
        </w:tc>
        <w:tc>
          <w:tcPr>
            <w:tcW w:type="dxa" w:w="57"/>
            <w:gridSpan w:val="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28" w:line="100" w:lineRule="atLeast"/>
              <w:jc w:val="both"/>
            </w:pPr>
            <w: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style0"/>
              <w:spacing w:after="0" w:before="28" w:line="100" w:lineRule="atLeast"/>
              <w:jc w:val="both"/>
            </w:pPr>
            <w: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  <w:t xml:space="preserve">_____________ </w:t>
            </w: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>
            <w:pPr>
              <w:pStyle w:val="style0"/>
              <w:spacing w:after="0" w:before="28" w:line="100" w:lineRule="atLeast"/>
              <w:jc w:val="both"/>
            </w:pPr>
            <w: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  <w:t>М.П.</w:t>
            </w:r>
          </w:p>
        </w:tc>
      </w:tr>
    </w:tbl>
    <w:p>
      <w:pPr>
        <w:pStyle w:val="style0"/>
      </w:pPr>
      <w:r>
        <w:rPr/>
      </w:r>
    </w:p>
    <w:sectPr>
      <w:type w:val="nextPage"/>
      <w:pgSz w:h="16838" w:w="11906"/>
      <w:pgMar w:bottom="1134" w:footer="0" w:gutter="0" w:header="0" w:left="1701" w:right="850" w:top="1134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>
        <w:tab w:leader="none" w:pos="708" w:val="left"/>
      </w:tabs>
      <w:suppressAutoHyphens w:val="true"/>
      <w:spacing w:after="200" w:before="0" w:line="276" w:lineRule="auto"/>
    </w:pPr>
    <w:rPr>
      <w:rFonts w:ascii="Calibri" w:cs="" w:eastAsia="SimSun" w:hAnsi="Calibri"/>
      <w:color w:val="auto"/>
      <w:sz w:val="22"/>
      <w:szCs w:val="22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paragraph">
    <w:name w:val="Заголовок"/>
    <w:basedOn w:val="style0"/>
    <w:next w:val="style17"/>
    <w:pPr>
      <w:keepNext/>
      <w:spacing w:after="120" w:before="240"/>
    </w:pPr>
    <w:rPr>
      <w:rFonts w:ascii="Arial" w:cs="Mangal" w:eastAsia="Microsoft YaHei" w:hAnsi="Arial"/>
      <w:sz w:val="28"/>
      <w:szCs w:val="28"/>
    </w:rPr>
  </w:style>
  <w:style w:styleId="style17" w:type="paragraph">
    <w:name w:val="Основной текст"/>
    <w:basedOn w:val="style0"/>
    <w:next w:val="style17"/>
    <w:pPr>
      <w:spacing w:after="120" w:before="0"/>
    </w:pPr>
    <w:rPr/>
  </w:style>
  <w:style w:styleId="style18" w:type="paragraph">
    <w:name w:val="Список"/>
    <w:basedOn w:val="style17"/>
    <w:next w:val="style18"/>
    <w:pPr/>
    <w:rPr>
      <w:rFonts w:cs="Mangal"/>
    </w:rPr>
  </w:style>
  <w:style w:styleId="style19" w:type="paragraph">
    <w:name w:val="Название"/>
    <w:basedOn w:val="style0"/>
    <w:next w:val="style19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20" w:type="paragraph">
    <w:name w:val="Указатель"/>
    <w:basedOn w:val="style0"/>
    <w:next w:val="style20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LibreOffice/3.5$Windows_x86 LibreOffice_project/165a79a-7059095-e13bb37-fef39a4-9503d18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2013-12-25T05:18:00.00Z</dcterms:created>
  <dc:creator>ValdisFro</dc:creator>
  <cp:lastModifiedBy>Константинов Павел Александрович</cp:lastModifiedBy>
  <dcterms:modified xsi:type="dcterms:W3CDTF">2013-12-25T07:25:00.00Z</dcterms:modified>
  <cp:revision>3</cp:revision>
</cp:coreProperties>
</file>